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26" w:rsidRPr="00EC0FA2" w:rsidRDefault="00783E26" w:rsidP="00783E2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36"/>
          <w:szCs w:val="36"/>
          <w:lang w:eastAsia="ru-RU"/>
        </w:rPr>
      </w:pPr>
      <w:r w:rsidRPr="00EC0FA2">
        <w:rPr>
          <w:rFonts w:ascii="Arial" w:eastAsia="Times New Roman" w:hAnsi="Arial" w:cs="Arial"/>
          <w:color w:val="231F20"/>
          <w:kern w:val="36"/>
          <w:sz w:val="36"/>
          <w:szCs w:val="36"/>
          <w:lang w:eastAsia="ru-RU"/>
        </w:rPr>
        <w:t>Словарь логистических терминов</w:t>
      </w:r>
    </w:p>
    <w:p w:rsidR="00783E26" w:rsidRPr="00AD2591" w:rsidRDefault="00783E26" w:rsidP="00783E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Аварийный сертификат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Certificate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damage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Документ, выдаваемый администрацией порта грузополучателю в удостоверение того, что предназначенные ему товары приняты им в поврежденном виде. Аварийный сертификат используется в качестве доказательства при предъявлении иска за несохранную перевозку.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Авизо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Advice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Извещение, высылаемое одним лицом другому о состоянии взаимных расчетов.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Активы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Assets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Совокупность имущества или имущественных прав, имеющих материально-вещественную форму (оборотные средства, основные фонды) или нематериальную форму (имидж предприятия, торговая марка и т.п.).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Балансовая стоимость запасов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Book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inventory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Стоимость наличных запасов, установленная бухгалтерией по учетным документам.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Балансовый учет запасов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Book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inventory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Способ учета запасов, заключающийся в суммировании запасов на начало отчетного периода с объемом поступления и вычитания из полученной суммы объема расхода. Полученные данные должны систематически сопоставляться с данными инвентаризаций.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Барель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Barrel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brl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bbl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Единица объема жидких и сыпучих веществ (имеет различные значения в зависимости от вида вещества). Нефтяной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барель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США равен 159 л. На трубопроводном транспорте в США грузовые тарифы взимаются, как правило, за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барель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Бездокументный</w:t>
      </w:r>
      <w:proofErr w:type="spellEnd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груз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Astray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freight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Груз, принадлежность которого можно установить по маркировке, но у которого отсутствуют товаросопроводительные документы.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Блочное страхование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Block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insurance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брит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Страхование мелкопартионных грузов от нескольких рисков одновременно. Одним из основных условий такого страхования является то обстоятельство, что объявленная ценность грузов, перевозимых в одном транспортном средстве, не должна превышать установленной величины.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Бочка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  <w:t xml:space="preserve">Barrel;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brl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., bl., bbl.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br/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Жесткая закрытая транспортная тара, изготовленная из дерева, металла, пластмассы и т.п. Корпус бочки обычно имеет цилиндрическую или параболическую форму. В бочках перевозят различные продовольственные и химические насыпные и наливные грузы.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Букировка; бронирование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Booking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Бронирование всей или части грузовместимости судна. Б. производится заблаговременно и грузоотправитель вправе давать ориентировочные данные о массе и габаритах отправки, однако оговариваются предельные сроки, в которые он обязан предоставить точные данные.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Ведомость материалов; комплектовочный график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material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B/m, BOM (амер., орг. производства)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Перечень деталей, материалов и др., необходимых для изготовления готовой продукции данного вида. Является конструкторским и технологическим документом, дополняющим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график производства и используемым, например, при оформлении внутренних заявок на материальные ресурсы.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Весовой сертификат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Certificate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weight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Заверенный в установленном порядке документ, удостоверяющий погруженную массу.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Вместимость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Capacity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Количество груза, который можно уложить в тару.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Временное хранение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- Обязательное условие производства таможенного оформления. Товары и транспортные средства с момента предоставления таможенному органу и до их выпуска либо предоставления лицу в соответствии с избранным таможенным режимом находятся на В. под таможенным контролем, приобретая статус находящихся на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В.х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автоматически с момента и в силу их предоставления таможенному органу. В. осуществляется в специально выделенных и обустроенных помещениях, на открытых площадках и иных местах - складах временного хранения;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Стадия таможенного оформления с момента предоставления товаров и транспортных средств таможенному органу до их выпуска либо предоставления лицу в распоряжение в соответствии с избранным таможенным режимом. Сроки В. устанавливаются таможенным органом исходя из времени, необходимого на подачу таможенной декларации, характера товара и используемого транспортного средства. Срок В. является сроком таможенного оформления, причем непринятие мер по обеспечению выпуска или получению в распоряжение в соответствии с таможенным режимом товаров, срок нахождения которых на складе превысил установленный срок, влечет конфискацию этих товаров.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Вспомогательные материалы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Auxiliary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materials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ancillary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materials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indirect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materials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Материалы, составляющие относительно небольшую часть предметов труда, используемые для производственно-эксплуатационных нужд и не входящие в состав готовой продукции. Могут быть отнесены на накладные расходы.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Гашение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Cancellation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Лишение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знака и т.п. юридической силы, платежеспособности и т.д. путем надрыва, перфорации, наложения спец. штемпеля или иным способом.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Грузополучатель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Consigne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receiver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Лицо, уполномоченное принять доставленный перевозчиком груз.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Группа требований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Batch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Определенное количество требований, одновременно поступивших в систему массового обслуживания.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Группировка счетов по срокам оплаты (</w:t>
      </w:r>
      <w:proofErr w:type="gram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бух</w:t>
      </w:r>
      <w:proofErr w:type="gramEnd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.)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Aging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Систематизация дебиторской задолженности по срокам наступления оплаты.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Действительная стоимость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Actual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value</w:t>
      </w:r>
      <w:proofErr w:type="spellEnd"/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страховании - рыночная стоимость восстановления поврежденного имущества или замены утраченного имущества с учетом его износа.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Демередж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З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простой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плавсредства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сверх нормы судовладельцу должны быть возмещены затраты на его содержание во время стоянки.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Денежное пособие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Allowance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Денежная сумма, выдаваемая работнику наличными на определенные цели.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Диспаша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Adjustment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average</w:t>
      </w:r>
      <w:proofErr w:type="spellEnd"/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морском страховании: распределение убытков по общей аварии. Для составления Д. необходимо письменное заявление страховщика или др. заинтересованной стороны с приложением документов, подтверждающих сумму понесенных убытков и расходов.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Дифференцированное начисление накладных расходов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Actovity-based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costing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Техника счетоводства, в соответствии с которой накладные расходы относятся не на всю продукцию, а лишь 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виды продукции, применительно к которым данные расходы были фактически понесены.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Дорожный просвет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Clearance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Расстояние между нижней точкой агрегатов транспортного средства и дорогой.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Естественная убыль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natural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loss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goods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Недостача массы грузов и товарно-материальных ценностей, возникающая при их транспортировке и складировании вследствие присущих им естественных свойств (усушка, утруска, и т.п.). В этом случае перевозчик ответственности за недостачу не несет.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Заказ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order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Предложение покупателя продавцу (изготовителю) поставить (изготовить) определенный товар или услугу, с указанием сроков исполнения (доставки), количества, качества, формы и величины оплаты.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заказ принят, он оформляется документом, копия которого (акцепт) направляется заказчику. В ряде случаев заказ считается 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принятым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 установленные сроки продавец (изготовитель) не сообщил о б отказе или претензиях (акцепт в форме молчания)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Залоговый склад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Bonded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warehouse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(амер.)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Склад, на котором хранятся товары, на которые местные власти имеют залоговое право в обеспечение налоговых или иных платежей.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Замкнутая логистическая система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Closed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loop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logistics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system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Логистическая система с относительно 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устойчивым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хозяйственными связями, например, металлургический завод, имеющий стабильную клиентуру.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Запасы на ответственном хранении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Accomodation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stocks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Товары, находящиеся на складе потребителя, но остающиеся собственностью поставщика. Потребитель фактически является хранителем товаров и несет перед поставщиком ответственность за их сохранность до того, как он их оплатил.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Извещение о доставке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Arrival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notice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Сообщение в стандарте ЕАНКОМ, высылаемое перевозчиком по электронным каналам связи извещаемой стороне.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Извещение о прибытии груза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Advice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Документ, высылаемый перевозчиком грузополучателю в подтверждение того, что предназначенные ему товары доставлены в место назначения. Расписка в получении товаров - расписка получателя за доставленные ему товары.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Извещение об отгрузке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Advice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Документ, высылаемый грузоотправителем грузополучателю в подтверждение того, что заказанные последним товары ему отправлены.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Импорт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import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Ввоз в страну товаров, технологий, услуг, капитала (в форме предоставления кредитов и займов) иностранного происхождения непосредственно из страны-продуцента или из страны-посредника для реализации на внутреннем рынке, а также для транзита в третьи страны. Различают И. видимый (ввоз материальных ценностей) и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невидимый (затраты на перевозку импортируемых грузов, пассажиров, туризм, страхование, услуги, а также денежные переводы юридических и физических лиц за границу).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gtFrame="_self" w:tooltip="ИНКОТЕРМС условия" w:history="1">
        <w:proofErr w:type="spellStart"/>
        <w:r w:rsidRPr="00EC0FA2">
          <w:rPr>
            <w:rFonts w:ascii="Arial" w:eastAsia="Times New Roman" w:hAnsi="Arial" w:cs="Arial"/>
            <w:b/>
            <w:bCs/>
            <w:color w:val="007CC3"/>
            <w:sz w:val="21"/>
            <w:szCs w:val="21"/>
            <w:u w:val="single"/>
            <w:lang w:eastAsia="ru-RU"/>
          </w:rPr>
          <w:t>Инкотермс</w:t>
        </w:r>
        <w:proofErr w:type="spellEnd"/>
      </w:hyperlink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International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Commercial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Terms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INCOTERMS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Изданный Международной торговой палатой сборник международных торговых терминов. В словаре приводятся термины по базисным условиям поставок, касающиеся перевозочного процесса, оформления поставок и др.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Исходная смесь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Batch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Установленное в нормативно-технической документации номенклатура и количество сырья, необходимого для изготовления продукции данного вида.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Календарное планирование по дате окончаний работ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Backward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scheduling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back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scheduling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Техника календарного планирования производства от директивного срока к дате начала работ.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Карусельный стеллаж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Carousel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Складской стеллаж с приводом, перемещающийся вокруг вертикальной оси, состоящий из двух и более ярусов.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Квитанция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Advice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note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Расписка в получении товарно-материальных ценностей, грузов и т.п. При наличии у перевозчика расписки получателя за груз получатель теряет право на предъявление к перевозчику претензий на явные повреждения, которые могли возникнуть в процессе перевозки.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Кипа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Bale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bundle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Груз, представляющий собой спрессованную массу, обвитую мешковиной, стянутую веревкой, металлической лентой и т.п.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Код контейнера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BIC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code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Код, присвоенный контейнеру Международным бюро контейнеризации.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К.к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</w:t>
      </w:r>
      <w:proofErr w:type="spellEnd"/>
    </w:p>
    <w:p w:rsidR="00783E26" w:rsidRPr="00AD2591" w:rsidRDefault="00783E26" w:rsidP="00783E26"/>
    <w:p w:rsidR="00783E26" w:rsidRPr="00EC0FA2" w:rsidRDefault="00783E26" w:rsidP="00783E26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color w:val="231F20"/>
          <w:kern w:val="36"/>
          <w:sz w:val="36"/>
          <w:szCs w:val="36"/>
          <w:lang w:eastAsia="ru-RU"/>
        </w:rPr>
      </w:pPr>
      <w:r w:rsidRPr="00EC0FA2">
        <w:rPr>
          <w:rFonts w:ascii="Arial" w:eastAsia="Times New Roman" w:hAnsi="Arial" w:cs="Arial"/>
          <w:color w:val="231F20"/>
          <w:kern w:val="36"/>
          <w:sz w:val="36"/>
          <w:szCs w:val="36"/>
          <w:lang w:eastAsia="ru-RU"/>
        </w:rPr>
        <w:t>Словарь морских терминов</w:t>
      </w:r>
    </w:p>
    <w:p w:rsidR="00783E26" w:rsidRDefault="00783E26" w:rsidP="00783E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783E26" w:rsidRPr="00002473" w:rsidRDefault="00783E26" w:rsidP="00783E26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Сокращения для линейных транспортировок между портами</w:t>
      </w:r>
    </w:p>
    <w:p w:rsidR="00783E26" w:rsidRPr="00EC0FA2" w:rsidRDefault="00783E26" w:rsidP="00783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FIOS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out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(погрузка и выгрузка за счет отправителя);</w:t>
      </w:r>
    </w:p>
    <w:p w:rsidR="00783E26" w:rsidRPr="00EC0FA2" w:rsidRDefault="00783E26" w:rsidP="00783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FILO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out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(погрузка за счет отправителя, выгрузка за счет линии);</w:t>
      </w:r>
    </w:p>
    <w:p w:rsidR="00783E26" w:rsidRPr="00EC0FA2" w:rsidRDefault="00783E26" w:rsidP="00783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LIFO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out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(погрузка за счет линии, выгрузка за счет отправителя);</w:t>
      </w:r>
    </w:p>
    <w:p w:rsidR="00783E26" w:rsidRPr="00EC0FA2" w:rsidRDefault="00783E26" w:rsidP="00783E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LILO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out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(погрузка и выгрузка за счет линии – полные линейные условия).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практики линии или конкретного порта к ставке могут добавляться различные надбавки:</w:t>
      </w:r>
    </w:p>
    <w:p w:rsidR="00783E26" w:rsidRPr="00EC0FA2" w:rsidRDefault="00783E26" w:rsidP="007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CAF (Currency Adjustment Factor) –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индексация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курсовой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разницы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 xml:space="preserve">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валют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;</w:t>
      </w:r>
    </w:p>
    <w:p w:rsidR="00783E26" w:rsidRPr="00EC0FA2" w:rsidRDefault="00783E26" w:rsidP="007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BAF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Bunker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Adjustment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Factor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индексация изменения цен на топливо;</w:t>
      </w:r>
    </w:p>
    <w:p w:rsidR="00783E26" w:rsidRPr="00EC0FA2" w:rsidRDefault="00783E26" w:rsidP="007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Wharfage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портовая пошлина;</w:t>
      </w:r>
    </w:p>
    <w:p w:rsidR="00783E26" w:rsidRPr="00EC0FA2" w:rsidRDefault="00783E26" w:rsidP="007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CUC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Chassis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Using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Charge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сбор за пользование шасси;</w:t>
      </w:r>
    </w:p>
    <w:p w:rsidR="00783E26" w:rsidRPr="00EC0FA2" w:rsidRDefault="00783E26" w:rsidP="00783E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Documentation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сбор за оформление документов и ряд других.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порта контейнер в </w:t>
      </w:r>
      <w:hyperlink r:id="rId7" w:history="1">
        <w:r w:rsidRPr="00EC0FA2">
          <w:rPr>
            <w:rFonts w:ascii="Arial" w:eastAsia="Times New Roman" w:hAnsi="Arial" w:cs="Arial"/>
            <w:color w:val="007CC3"/>
            <w:sz w:val="21"/>
            <w:szCs w:val="21"/>
            <w:u w:val="single"/>
            <w:lang w:eastAsia="ru-RU"/>
          </w:rPr>
          <w:t>морских контейнерных перевозках</w:t>
        </w:r>
      </w:hyperlink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доставлен до контейнерного терминала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container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yard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вблизи порта или в глубине страны в зависимости от активности линии на данной территории. И, конечно же, он может быть доставлен непосредственно до "двери" клиента. С учетом этого к основным линейным условиям могут добавляться 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следующие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83E26" w:rsidRPr="00EC0FA2" w:rsidRDefault="00783E26" w:rsidP="00783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FICY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Free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Container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yard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(без погрузки в порту – до контейнерного терминала);</w:t>
      </w:r>
    </w:p>
    <w:p w:rsidR="00783E26" w:rsidRPr="00EC0FA2" w:rsidRDefault="00783E26" w:rsidP="00783E2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LI-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/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(погрузка в порту за счет линии – "дверь" клиента).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этом следует учитывать, что даже при перевозке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Door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 есть "дверь"/"дверь", линия только подает контейнер по указанному адресу, но практически никогда не осуществляет затаривание/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растаривание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контейнера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stuffing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unstuffing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Этот вопрос грузоотправитель решает своими силами либо с помощью экспедитора.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коносаментов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Различия коносаментов заключаются в небольших, но важных нюансах, которые оговорены в определениях коносаментов, – от чего происходят виды коносаментов и на что они влияют.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Бортовой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Board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Board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B/L) – удостоверяющий, что принятые к </w:t>
      </w:r>
      <w:hyperlink r:id="rId8" w:tgtFrame="_self" w:tooltip="ПЕРЕВОЗКА ГРУЗОВ" w:history="1">
        <w:r w:rsidRPr="00EC0FA2">
          <w:rPr>
            <w:rFonts w:ascii="Arial" w:eastAsia="Times New Roman" w:hAnsi="Arial" w:cs="Arial"/>
            <w:color w:val="007CC3"/>
            <w:sz w:val="21"/>
            <w:szCs w:val="21"/>
            <w:u w:val="single"/>
            <w:lang w:eastAsia="ru-RU"/>
          </w:rPr>
          <w:t>перевозке грузы</w:t>
        </w:r>
      </w:hyperlink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реально погружены на судно.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Долевой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Delivery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order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товарораспорядительный документ, выдаваемый перевозчиком или грузополучателем с подтверждением капитаном судна. Используется в случае частичной продажи грузополучателем товара до того, как он принял поставку. Долевой коносамент – распоряжение о передаче определенной части перевозимого груза в порту назначения другому лицу.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Застрахованный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Insured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представляет собой сочетание транспортного документа со страховым полисом и служит доказательством как приема груза к перевозке, так и его страхования, применяется при перевозке грузов в контейнерах.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Именной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Straight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Straight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B/L) – составленный на имя определенного грузополучателя. По именному коносаменту груз передается в порту назначения тому получателю, который указан в коносаменте. Выдать груз другому лицу можно лишь на основании сделки, оформленной с соблюдением правил, установленных для передачи долгового требования.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Коносамент на предъявителя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передается в обмен на груз путем простого вручения.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Коносамент на груз, принятый для погрузки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Received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shipment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Received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for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shipment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B/L) – коносамент на груз, принятый для погрузки в порту в ожидании еще не прибывшего судна.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Линейный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Liner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B/L) – коносамент, выдаваемый судоходной компанией или от ее имени и покрывающий перевозку на судах, курсирующих по регулярным маршрутам в соответствии с установленным и опубликованным расписанием.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Коносамент с оговорками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("нечистый" коносамент, "грязный" коносамент)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Claused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Claused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B/L;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Unclean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– коносамент, в котором сделаны отметки о повреждении груза и/или упаковки.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Local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со ссылкой на сквозной коносамент, по которому груз принят к перевозке. Местные коносаменты имеют служебное значение для отчетности линии, порта и не являются товарораспорядительными документами.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Ордерный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оборотный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Order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Negotiable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landing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Negotiable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B/L) – по которому груз передается либо "приказу" грузоотправителя, либо "приказу" грузополучателя, либо "приказу" банка, либо по передаточной надписи того, чьему "приказу" он составлен.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в ордерном коносаменте не указано, что он составлен "приказу" получателя, то считается, что он составлен "приказу" отправителя. "Приказ" – пометка о том 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лице, которому передается груз. Допустим, получатель не может работать с грузом в порту назначения, в этом случае груз принимает экспедитор, который и будет этим лицом.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Прямой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Direct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коносамент, покрывающий отгрузку между непосредственными портами погрузки и выгрузки на одном и том же судне.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Сборный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групповой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Combined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Collapsible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 несколько грузов, предназначенных для различных грузополучателей.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Сквозной коносамент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Through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Bill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Lading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Through</w:t>
      </w:r>
      <w:proofErr w:type="spell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B/L, TBL) – предусматривающий перевалку груза на другое судно в промежуточном пункте и покрывающий всю перевозку груза от порта погрузки до места конечного назначения. Такие перевозки возможны при наличии у перевозчика нескольких регулярных линий в различных направлениях или по договоренности между двумя перевозчиками – принимающим груз в порту отправления и доставляющим его дальше от порта перевалки. Обычно перевозчики, совместно перевозящие груз по сквозному коносаменту, оговаривают свои взаимные обязательства – каждый перевозчик отвечает только за тот участок пути, на котором он совершает перевозку. При сквозном коносаменте важно наличие четких отметок о передаче груза от одного перевозчика к другому.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Ставка фрахта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базовая ставка фрахта с изменениями и дополнениями по состоянию на дату заключения чартера. В основном она зависит от рода груза, расстояния и направления перевозки. Если размер фрахта не предусмотрен тарифом, то ставка фрахта устанавливается по соглашению сторон.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Букинг</w:t>
      </w:r>
      <w:proofErr w:type="spellEnd"/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-нот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договор фрахта, по которому отдельные партии груза закрепляют для очередного рейса линейного судна, перевозящего грузы по расписанию. Регулярные грузовые линии заблаговременно регистрируют грузы для очередного рейса или рейсов.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Фидерное судно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небольшое судно, способное курсировать на сравнительно мелких глубинах. Эти суда встают под перегруз контейнеров, пришедших на линейном судне, и каждое собирает контейнеры по своему маршруту.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83E26" w:rsidRPr="00EC0FA2" w:rsidRDefault="00783E26" w:rsidP="00783E26">
      <w:pPr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0FA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Линейное судно</w:t>
      </w:r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это судно совершающее рейсы по расписанию между определенными портами. Обычно на линейных грузовых судах отгрузка товаров производится мелкими партиями. На каждую партию выдается отдельный коносамент. На линейном судне могут </w:t>
      </w:r>
      <w:proofErr w:type="gramStart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находится</w:t>
      </w:r>
      <w:proofErr w:type="gramEnd"/>
      <w:r w:rsidRPr="00EC0F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контейнеры с разными портами назначения.</w:t>
      </w:r>
    </w:p>
    <w:p w:rsidR="00783E26" w:rsidRDefault="00783E26" w:rsidP="00783E26"/>
    <w:p w:rsidR="00783E26" w:rsidRPr="00AA3960" w:rsidRDefault="00783E26" w:rsidP="00783E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467" w:rsidRDefault="00421467">
      <w:bookmarkStart w:id="0" w:name="_GoBack"/>
      <w:bookmarkEnd w:id="0"/>
    </w:p>
    <w:sectPr w:rsidR="00421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51A"/>
    <w:multiLevelType w:val="multilevel"/>
    <w:tmpl w:val="B63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A4CE7"/>
    <w:multiLevelType w:val="multilevel"/>
    <w:tmpl w:val="022A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D1C67"/>
    <w:multiLevelType w:val="multilevel"/>
    <w:tmpl w:val="C238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26"/>
    <w:rsid w:val="00421467"/>
    <w:rsid w:val="007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grou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lgroup.ru/benefits/worldship/china/rou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group.ru/useful/worldti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2014-01-20T19:34:00Z</dcterms:created>
  <dcterms:modified xsi:type="dcterms:W3CDTF">2014-01-20T19:36:00Z</dcterms:modified>
</cp:coreProperties>
</file>